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w:t>
      </w:r>
      <w:r>
        <w:rPr>
          <w:rFonts w:hint="eastAsia" w:ascii="Arial" w:hAnsi="Arial" w:cs="Arial"/>
          <w:b/>
          <w:sz w:val="24"/>
          <w:lang w:val="en-US" w:eastAsia="zh-CN"/>
        </w:rPr>
        <w:t>11</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408248</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Fukuoka City, Fukuoka, Japan, 20th–24th May, 2024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the core maintenance of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7.24.1</w:t>
      </w:r>
      <w:bookmarkStart w:id="1" w:name="_GoBack"/>
      <w:bookmarkEnd w:id="1"/>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last meeting, the core part maintenance and perf part maintenance were discussed. Some progress on core part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rPr>
                <w:szCs w:val="24"/>
                <w:lang w:eastAsia="zh-CN"/>
              </w:rPr>
            </w:pPr>
            <w:r>
              <w:rPr>
                <w:b/>
                <w:u w:val="single"/>
                <w:lang w:eastAsia="ko-KR"/>
              </w:rPr>
              <w:t>Issue 1-1-2: QCL/TCI indication and reference Cell determination</w:t>
            </w:r>
          </w:p>
          <w:p>
            <w:pPr>
              <w:pStyle w:val="32"/>
              <w:numPr>
                <w:ilvl w:val="0"/>
                <w:numId w:val="0"/>
              </w:numPr>
              <w:overflowPunct/>
              <w:autoSpaceDE/>
              <w:autoSpaceDN/>
              <w:adjustRightInd/>
              <w:spacing w:after="120"/>
              <w:textAlignment w:val="auto"/>
              <w:rPr>
                <w:szCs w:val="21"/>
                <w:highlight w:val="green"/>
              </w:rPr>
            </w:pPr>
            <w:r>
              <w:rPr>
                <w:szCs w:val="21"/>
                <w:highlight w:val="green"/>
              </w:rPr>
              <w:t>Agreement:</w:t>
            </w:r>
          </w:p>
          <w:p>
            <w:pPr>
              <w:pStyle w:val="32"/>
              <w:numPr>
                <w:ilvl w:val="0"/>
                <w:numId w:val="6"/>
              </w:numPr>
              <w:overflowPunct/>
              <w:autoSpaceDE/>
              <w:autoSpaceDN/>
              <w:adjustRightInd/>
              <w:spacing w:after="120"/>
              <w:ind w:left="936" w:leftChars="0" w:hanging="360" w:firstLineChars="0"/>
              <w:textAlignment w:val="auto"/>
              <w:rPr>
                <w:szCs w:val="21"/>
                <w:highlight w:val="green"/>
              </w:rPr>
            </w:pPr>
            <w:r>
              <w:rPr>
                <w:szCs w:val="21"/>
                <w:highlight w:val="green"/>
              </w:rPr>
              <w:t>No requirement is applied for the case of more than one QCLtypeC source cells and without Rel-18 network indication.</w:t>
            </w:r>
          </w:p>
          <w:p>
            <w:pPr>
              <w:rPr>
                <w:b/>
                <w:u w:val="single"/>
                <w:lang w:eastAsia="ko-KR"/>
              </w:rPr>
            </w:pPr>
            <w:bookmarkStart w:id="0" w:name="_Hlk163640590"/>
            <w:r>
              <w:rPr>
                <w:b/>
                <w:u w:val="single"/>
                <w:lang w:eastAsia="ko-KR"/>
              </w:rPr>
              <w:t>Issue 1-1-7: Multiple SSB-less SCells activation</w:t>
            </w:r>
          </w:p>
          <w:bookmarkEnd w:id="0"/>
          <w:p>
            <w:pPr>
              <w:snapToGrid w:val="0"/>
              <w:spacing w:after="120"/>
              <w:rPr>
                <w:sz w:val="21"/>
                <w:szCs w:val="21"/>
                <w:highlight w:val="green"/>
                <w:lang w:eastAsia="zh-CN"/>
              </w:rPr>
            </w:pPr>
            <w:r>
              <w:rPr>
                <w:sz w:val="21"/>
                <w:szCs w:val="21"/>
                <w:highlight w:val="green"/>
                <w:lang w:eastAsia="zh-CN"/>
              </w:rPr>
              <w:t>Agreement:</w:t>
            </w:r>
          </w:p>
          <w:p>
            <w:pPr>
              <w:pStyle w:val="32"/>
              <w:numPr>
                <w:ilvl w:val="0"/>
                <w:numId w:val="6"/>
              </w:numPr>
              <w:overflowPunct/>
              <w:autoSpaceDE/>
              <w:autoSpaceDN/>
              <w:adjustRightInd/>
              <w:spacing w:after="120"/>
              <w:ind w:firstLineChars="0"/>
              <w:textAlignment w:val="auto"/>
              <w:rPr>
                <w:szCs w:val="21"/>
                <w:highlight w:val="green"/>
              </w:rPr>
            </w:pPr>
            <w:r>
              <w:rPr>
                <w:szCs w:val="21"/>
                <w:highlight w:val="green"/>
              </w:rPr>
              <w:t>When to-be-activated SSB-less SCells are in different bands</w:t>
            </w:r>
          </w:p>
          <w:p>
            <w:pPr>
              <w:pStyle w:val="32"/>
              <w:numPr>
                <w:ilvl w:val="1"/>
                <w:numId w:val="6"/>
              </w:numPr>
              <w:overflowPunct/>
              <w:autoSpaceDE/>
              <w:autoSpaceDN/>
              <w:adjustRightInd/>
              <w:spacing w:after="120"/>
              <w:ind w:firstLineChars="0"/>
              <w:textAlignment w:val="auto"/>
              <w:rPr>
                <w:szCs w:val="21"/>
                <w:highlight w:val="green"/>
              </w:rPr>
            </w:pPr>
            <w:r>
              <w:rPr>
                <w:szCs w:val="21"/>
                <w:highlight w:val="green"/>
              </w:rPr>
              <w:t>Existing single CC requirement can apply to each to-be-activated SSB-less SCells respectively.</w:t>
            </w:r>
          </w:p>
          <w:p>
            <w:pPr>
              <w:pStyle w:val="32"/>
              <w:numPr>
                <w:ilvl w:val="1"/>
                <w:numId w:val="6"/>
              </w:numPr>
              <w:overflowPunct/>
              <w:autoSpaceDE/>
              <w:autoSpaceDN/>
              <w:adjustRightInd/>
              <w:spacing w:after="120"/>
              <w:ind w:firstLineChars="0"/>
              <w:textAlignment w:val="auto"/>
              <w:rPr>
                <w:rFonts w:hint="default"/>
                <w:b/>
                <w:u w:val="single"/>
                <w:lang w:val="en-US" w:eastAsia="zh-CN"/>
              </w:rPr>
            </w:pPr>
            <w:r>
              <w:rPr>
                <w:szCs w:val="21"/>
                <w:highlight w:val="green"/>
              </w:rPr>
              <w:t xml:space="preserve">The reference cell to the multiple SSB-less Scells in difference bands may or may not be different. </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3"/>
        <w:bidi w:val="0"/>
        <w:rPr>
          <w:rFonts w:hint="eastAsia" w:cs="Times New Roman"/>
          <w:sz w:val="24"/>
          <w:szCs w:val="24"/>
          <w:lang w:val="en-US" w:eastAsia="zh-CN"/>
        </w:rPr>
      </w:pPr>
      <w:r>
        <w:rPr>
          <w:rFonts w:hint="eastAsia" w:cs="Times New Roman"/>
          <w:sz w:val="24"/>
          <w:szCs w:val="24"/>
          <w:lang w:val="en-US" w:eastAsia="zh-CN"/>
        </w:rPr>
        <w:t>2.1 Feasibility conditions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In previous meeting, the side condition of power difference has been warmly discussed with the following agreements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highlight w:val="green"/>
                <w:lang w:eastAsia="zh-CN"/>
              </w:rPr>
            </w:pPr>
            <w:r>
              <w:rPr>
                <w:rFonts w:hint="eastAsia"/>
                <w:highlight w:val="green"/>
                <w:lang w:eastAsia="zh-CN"/>
              </w:rPr>
              <w:t>A</w:t>
            </w:r>
            <w:r>
              <w:rPr>
                <w:highlight w:val="green"/>
                <w:lang w:eastAsia="zh-CN"/>
              </w:rPr>
              <w:t>greement:</w:t>
            </w:r>
          </w:p>
          <w:p>
            <w:pPr>
              <w:bidi w:val="0"/>
              <w:ind w:leftChars="200"/>
              <w:rPr>
                <w:highlight w:val="green"/>
              </w:rPr>
            </w:pPr>
            <w:r>
              <w:rPr>
                <w:highlight w:val="green"/>
              </w:rPr>
              <w:t>The requirements apply provided that [EPRE] difference at UE side is less than [9] dB.</w:t>
            </w:r>
          </w:p>
          <w:p>
            <w:pPr>
              <w:numPr>
                <w:ilvl w:val="0"/>
                <w:numId w:val="7"/>
              </w:numPr>
              <w:bidi w:val="0"/>
              <w:ind w:left="840" w:leftChars="0" w:hanging="420" w:firstLineChars="0"/>
              <w:rPr>
                <w:highlight w:val="green"/>
              </w:rPr>
            </w:pPr>
            <w:r>
              <w:rPr>
                <w:highlight w:val="green"/>
              </w:rPr>
              <w:t>EPRE difference is based on power difference between TRS symbol on SSB-less SCell and SSB symbol on reference cel</w:t>
            </w:r>
            <w:r>
              <w:rPr>
                <w:rFonts w:hint="eastAsia" w:eastAsia="宋体"/>
                <w:highlight w:val="green"/>
                <w:lang w:val="en-US" w:eastAsia="zh-CN"/>
              </w:rPr>
              <w:t>l</w:t>
            </w:r>
          </w:p>
          <w:p>
            <w:pPr>
              <w:numPr>
                <w:ilvl w:val="0"/>
                <w:numId w:val="7"/>
              </w:numPr>
              <w:bidi w:val="0"/>
              <w:ind w:left="840" w:leftChars="0" w:hanging="420" w:firstLineChars="0"/>
              <w:rPr>
                <w:rFonts w:hint="eastAsia" w:eastAsia="宋体"/>
                <w:szCs w:val="20"/>
                <w:vertAlign w:val="baseline"/>
                <w:lang w:val="en-US" w:eastAsia="zh-CN"/>
              </w:rPr>
            </w:pPr>
            <w:r>
              <w:rPr>
                <w:highlight w:val="green"/>
              </w:rPr>
              <w:t>Capture in the WF that RAN4 assumes that UE carries out pre-compensation for AGC considering [BW difference and carrier frequency difference].</w:t>
            </w:r>
          </w:p>
          <w:p>
            <w:pPr>
              <w:numPr>
                <w:ilvl w:val="0"/>
                <w:numId w:val="7"/>
              </w:numPr>
              <w:bidi w:val="0"/>
              <w:ind w:left="840" w:leftChars="0" w:hanging="420" w:firstLineChars="0"/>
              <w:rPr>
                <w:rFonts w:hint="eastAsia" w:eastAsia="宋体"/>
                <w:szCs w:val="20"/>
                <w:vertAlign w:val="baseline"/>
                <w:lang w:val="en-US" w:eastAsia="zh-CN"/>
              </w:rPr>
            </w:pPr>
            <w:r>
              <w:rPr>
                <w:highlight w:val="green"/>
              </w:rPr>
              <w:t>Further discuss whether/how to capture the EPRE after pre-compensation in the spec.</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Actually the threshold of [9] dB aims to detect the post-power difference after the operation of pre-compensation between the SSB-less SCell and reference cell. Here the pre-compensation is used by UE to overcome the predicted power difference between SSB-less SCell and reference cell since of the BW difference and carrier frequency difference. Since the post-PSD/EPRE is newly introduced here, so how to capture it precisely into the spec, which needs to consider.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 xml:space="preserve">In legacy SCell activation procedure, for the UE capable of </w:t>
      </w:r>
      <w:r>
        <w:rPr>
          <w:rFonts w:hint="eastAsia" w:eastAsia="宋体"/>
          <w:i/>
          <w:iCs/>
          <w:szCs w:val="20"/>
          <w:lang w:val="en-US" w:eastAsia="zh-CN"/>
        </w:rPr>
        <w:t>scellWithoutSSB</w:t>
      </w:r>
      <w:r>
        <w:rPr>
          <w:rFonts w:hint="eastAsia" w:eastAsia="宋体"/>
          <w:szCs w:val="20"/>
          <w:lang w:val="en-US" w:eastAsia="zh-CN"/>
        </w:rPr>
        <w:t>, so as to reduce the activation latency to 3ms, the side condition on power difference is described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eastAsia="宋体"/>
                <w:lang w:val="en-US" w:eastAsia="zh-CN"/>
              </w:rPr>
            </w:pPr>
            <w:r>
              <w:rPr>
                <w:rFonts w:hint="eastAsia" w:eastAsia="宋体"/>
                <w:lang w:val="en-US" w:eastAsia="zh-CN"/>
              </w:rPr>
              <w:t>...</w:t>
            </w:r>
          </w:p>
          <w:p>
            <w:pPr>
              <w:rPr>
                <w:rFonts w:hint="default" w:eastAsia="宋体" w:cs="Times New Roman"/>
                <w:szCs w:val="20"/>
                <w:vertAlign w:val="baseline"/>
                <w:lang w:val="en-US" w:eastAsia="zh-CN" w:bidi="ar-SA"/>
              </w:rPr>
            </w:pPr>
            <w:r>
              <w:rPr>
                <w:lang w:val="en-US"/>
              </w:rPr>
              <w:t xml:space="preserve">its reception power difference with contiguous FR1 active serving cell is larger than </w:t>
            </w:r>
            <w:r>
              <w:rPr>
                <w:iCs/>
                <w:lang w:val="en-US"/>
              </w:rPr>
              <w:t>6</w:t>
            </w:r>
            <w:r>
              <w:rPr>
                <w:lang w:val="en-US"/>
              </w:rPr>
              <w:t>dB</w:t>
            </w:r>
            <w:r>
              <w:t>;</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While so as to distinguish the power difference after pre-compensation operation here with the legacy power difference, the wording of </w:t>
      </w:r>
      <w:r>
        <w:rPr>
          <w:rFonts w:hint="default" w:eastAsia="宋体"/>
          <w:szCs w:val="20"/>
          <w:lang w:val="en-US" w:eastAsia="zh-CN"/>
        </w:rPr>
        <w:t>“</w:t>
      </w:r>
      <w:r>
        <w:rPr>
          <w:rFonts w:hint="eastAsia" w:eastAsia="宋体"/>
          <w:szCs w:val="20"/>
          <w:lang w:val="en-US" w:eastAsia="zh-CN"/>
        </w:rPr>
        <w:t>EPRE after pre-compensation</w:t>
      </w:r>
      <w:r>
        <w:rPr>
          <w:rFonts w:hint="default" w:eastAsia="宋体"/>
          <w:szCs w:val="20"/>
          <w:lang w:val="en-US" w:eastAsia="zh-CN"/>
        </w:rPr>
        <w:t>”</w:t>
      </w:r>
      <w:r>
        <w:rPr>
          <w:rFonts w:hint="eastAsia" w:eastAsia="宋体"/>
          <w:szCs w:val="20"/>
          <w:lang w:val="en-US" w:eastAsia="zh-CN"/>
        </w:rPr>
        <w:t xml:space="preserve"> is needed, it is better to keep such description in the spec.</w:t>
      </w:r>
    </w:p>
    <w:p>
      <w:pPr>
        <w:rPr>
          <w:rFonts w:hint="default" w:eastAsia="宋体"/>
          <w:b/>
          <w:bCs/>
          <w:szCs w:val="20"/>
          <w:highlight w:val="none"/>
          <w:lang w:val="en-US" w:eastAsia="zh-CN"/>
        </w:rPr>
      </w:pPr>
      <w:r>
        <w:rPr>
          <w:rFonts w:hint="eastAsia" w:eastAsia="宋体"/>
          <w:b/>
          <w:bCs/>
          <w:szCs w:val="20"/>
          <w:highlight w:val="none"/>
          <w:lang w:val="en-US" w:eastAsia="zh-CN"/>
        </w:rPr>
        <w:t xml:space="preserve">Proposal 1: To keep the </w:t>
      </w:r>
      <w:r>
        <w:rPr>
          <w:rFonts w:hint="default" w:eastAsia="宋体"/>
          <w:b/>
          <w:bCs/>
          <w:szCs w:val="20"/>
          <w:highlight w:val="none"/>
          <w:lang w:val="en-US" w:eastAsia="zh-CN"/>
        </w:rPr>
        <w:t>“</w:t>
      </w:r>
      <w:r>
        <w:rPr>
          <w:rFonts w:hint="eastAsia" w:eastAsia="宋体"/>
          <w:b/>
          <w:bCs/>
          <w:szCs w:val="20"/>
          <w:highlight w:val="none"/>
          <w:lang w:val="en-US" w:eastAsia="zh-CN"/>
        </w:rPr>
        <w:t>EPRE after pre-compensation</w:t>
      </w:r>
      <w:r>
        <w:rPr>
          <w:rFonts w:hint="default" w:eastAsia="宋体"/>
          <w:b/>
          <w:bCs/>
          <w:szCs w:val="20"/>
          <w:highlight w:val="none"/>
          <w:lang w:val="en-US" w:eastAsia="zh-CN"/>
        </w:rPr>
        <w:t>”</w:t>
      </w:r>
      <w:r>
        <w:rPr>
          <w:rFonts w:hint="eastAsia" w:eastAsia="宋体"/>
          <w:b/>
          <w:bCs/>
          <w:szCs w:val="20"/>
          <w:highlight w:val="none"/>
          <w:lang w:val="en-US" w:eastAsia="zh-CN"/>
        </w:rPr>
        <w:t xml:space="preserve"> in the spec.</w:t>
      </w:r>
    </w:p>
    <w:p>
      <w:pPr>
        <w:rPr>
          <w:rFonts w:hint="default" w:eastAsia="宋体" w:cs="Times New Roman"/>
          <w:szCs w:val="20"/>
          <w:lang w:val="en-US" w:eastAsia="zh-CN" w:bidi="ar-SA"/>
        </w:rPr>
      </w:pPr>
    </w:p>
    <w:p>
      <w:pPr>
        <w:pStyle w:val="3"/>
        <w:bidi w:val="0"/>
        <w:rPr>
          <w:rFonts w:hint="default" w:cs="Times New Roman"/>
          <w:sz w:val="24"/>
          <w:szCs w:val="24"/>
          <w:lang w:val="en-US" w:eastAsia="zh-CN"/>
        </w:rPr>
      </w:pPr>
      <w:r>
        <w:rPr>
          <w:rFonts w:hint="eastAsia" w:cs="Times New Roman"/>
          <w:sz w:val="24"/>
          <w:szCs w:val="24"/>
          <w:lang w:val="en-US" w:eastAsia="zh-CN"/>
        </w:rPr>
        <w:t>2.2 Others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Neighbor cells on carrier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This issue was raised in last meeting. For the SSB-less SCell, since no SSB transmission, so how to specify the neighbour cell as intra-frequency measurement or inter-frequency measurement, which should be discussed. In legacy RRM measurement, intra-frequency measurement is defined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Pr>
            <w:r>
              <w:t>9.2</w:t>
            </w:r>
            <w:r>
              <w:tab/>
            </w:r>
            <w:r>
              <w:t>NR intra-frequency measurements</w:t>
            </w:r>
          </w:p>
          <w:p>
            <w:pPr>
              <w:pStyle w:val="4"/>
            </w:pPr>
            <w:r>
              <w:t>9.2.1</w:t>
            </w:r>
            <w:r>
              <w:tab/>
            </w:r>
            <w:r>
              <w:t>Introduction</w:t>
            </w:r>
          </w:p>
          <w:p>
            <w:pPr>
              <w:rPr>
                <w:rFonts w:hint="default" w:eastAsia="宋体"/>
                <w:szCs w:val="20"/>
                <w:vertAlign w:val="baseline"/>
                <w:lang w:val="en-US" w:eastAsia="ko-KR"/>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Since the absence of SSB of the SSB-less SCell, we can not directly reuse this principle to decide intra-f or inter-f measurement of a neighbour cell. Some company proposed to use the following principle to identify the intra-f measurement: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vertAlign w:val="baseline"/>
                <w:lang w:val="en-US" w:eastAsia="ko-KR"/>
              </w:rPr>
            </w:pPr>
            <w:r>
              <w:rPr>
                <w:rFonts w:eastAsia="宋体"/>
                <w:szCs w:val="24"/>
                <w:lang w:eastAsia="zh-CN"/>
              </w:rPr>
              <w:t>Option 1: If neighbor cells on carrier of SSB-less SCell have SSB transmission, the measurement for those neighbor cells shall be treated as intra-frequency measurement as long as the SSBs from those neighbor cells can be contained in the active BWP of SSB-less SCell.</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Generally we are fine with such assumption, since of no serving cell SSB in the SSB-less SCell to reference, it seems that the only reference has to be the active BWP of the SSB-less SCell. So it is natural to distinguish the intra-f/inter-f based on whether the active BWP fully contains the SSB of neighbout cell or not. Furthermore, based on such distinguish, whether the SSB based neighbour cell measurement needs the help of gap, it is also clear. That is, if the SSB based neighbour cell measurement is deemed as intra-f measurement, then no gap is needed. Otherwise, when the SSB based neighbout cell measurement is deems as inter-f measurmenet, then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2: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rFonts w:hint="eastAsia" w:eastAsia="宋体"/>
          <w:b/>
          <w:u w:val="single"/>
          <w:lang w:val="en-US" w:eastAsia="zh-CN"/>
        </w:rPr>
        <w:t>The case of</w:t>
      </w:r>
      <w:r>
        <w:rPr>
          <w:b/>
          <w:u w:val="single"/>
          <w:lang w:eastAsia="ko-KR"/>
        </w:rPr>
        <w:t xml:space="preserve"> multiple P-TRS configured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During the SSB-less SCell activation procedure, UE perform fine AGC and T/F sync based on the TRS transmitted in the SSB-less SCell. The relevant requirements are defined as below in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1"/>
              <w:numPr>
                <w:ilvl w:val="0"/>
                <w:numId w:val="0"/>
              </w:numPr>
              <w:ind w:leftChars="0"/>
              <w:rPr>
                <w:lang w:val="en-US" w:eastAsia="zh-CN"/>
              </w:rPr>
            </w:pPr>
            <w:r>
              <w:rPr>
                <w:lang w:val="en-US" w:eastAsia="zh-CN"/>
              </w:rPr>
              <w:t>T</w:t>
            </w:r>
            <w:r>
              <w:rPr>
                <w:vertAlign w:val="subscript"/>
                <w:lang w:val="en-US" w:eastAsia="zh-CN"/>
              </w:rPr>
              <w:t>activation_time</w:t>
            </w:r>
            <w:r>
              <w:rPr>
                <w:lang w:val="en-US" w:eastAsia="zh-CN"/>
              </w:rPr>
              <w:t xml:space="preserve"> is</w:t>
            </w:r>
          </w:p>
          <w:p>
            <w:pPr>
              <w:pStyle w:val="61"/>
              <w:numPr>
                <w:ilvl w:val="0"/>
                <w:numId w:val="0"/>
              </w:numPr>
              <w:ind w:leftChars="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color w:val="000000" w:themeColor="text1"/>
                <w14:textFill>
                  <w14:solidFill>
                    <w14:schemeClr w14:val="tx1"/>
                  </w14:solidFill>
                </w14:textFill>
              </w:rPr>
              <w:t>ATRS based SSB-less operation</w:t>
            </w:r>
            <w:r>
              <w:rPr>
                <w:color w:val="000000" w:themeColor="text1"/>
                <w14:textFill>
                  <w14:solidFill>
                    <w14:schemeClr w14:val="tx1"/>
                  </w14:solidFill>
                </w14:textFill>
              </w:rPr>
              <w:t>]</w:t>
            </w:r>
            <w:r>
              <w:rPr>
                <w:lang w:val="en-US" w:eastAsia="zh-CN"/>
              </w:rPr>
              <w:t>]</w:t>
            </w:r>
          </w:p>
          <w:p>
            <w:pPr>
              <w:pStyle w:val="61"/>
              <w:numPr>
                <w:ilvl w:val="0"/>
                <w:numId w:val="0"/>
              </w:numPr>
              <w:ind w:leftChars="0"/>
              <w:rPr>
                <w:rFonts w:hint="default" w:eastAsia="宋体"/>
                <w:szCs w:val="20"/>
                <w:vertAlign w:val="baseline"/>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color w:val="000000" w:themeColor="text1"/>
                <w14:textFill>
                  <w14:solidFill>
                    <w14:schemeClr w14:val="tx1"/>
                  </w14:solidFill>
                </w14:textFill>
              </w:rPr>
              <w:t>[</w:t>
            </w:r>
            <w:r>
              <w:rPr>
                <w:i/>
                <w:color w:val="000000" w:themeColor="text1"/>
                <w14:textFill>
                  <w14:solidFill>
                    <w14:schemeClr w14:val="tx1"/>
                  </w14:solidFill>
                </w14:textFill>
              </w:rPr>
              <w:t>ATRS based SSB-less operation</w:t>
            </w:r>
            <w:r>
              <w:rPr>
                <w:color w:val="000000" w:themeColor="text1"/>
                <w14:textFill>
                  <w14:solidFill>
                    <w14:schemeClr w14:val="tx1"/>
                  </w14:solidFill>
                </w14:textFill>
              </w:rPr>
              <w:t>]</w:t>
            </w:r>
            <w:r>
              <w:rPr>
                <w:lang w:val="en-US" w:eastAsia="zh-CN"/>
              </w:rPr>
              <w:t>]</w:t>
            </w:r>
          </w:p>
        </w:tc>
      </w:tr>
    </w:tbl>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 xml:space="preserve">For the first case, i.e. the periodic TRS based activation procedure, when multiple TRS resources are configured in the SSB-less SCell, how to determine the </w:t>
      </w:r>
      <w:r>
        <w:rPr>
          <w:lang w:val="en-US" w:eastAsia="zh-CN"/>
        </w:rPr>
        <w:t>T</w:t>
      </w:r>
      <w:r>
        <w:rPr>
          <w:vertAlign w:val="subscript"/>
          <w:lang w:val="en-US" w:eastAsia="zh-CN"/>
        </w:rPr>
        <w:t>first_TRS</w:t>
      </w:r>
      <w:r>
        <w:rPr>
          <w:rFonts w:hint="eastAsia"/>
          <w:vertAlign w:val="subscript"/>
          <w:lang w:val="en-US" w:eastAsia="zh-CN"/>
        </w:rPr>
        <w:t xml:space="preserve"> </w:t>
      </w:r>
      <w:r>
        <w:rPr>
          <w:rFonts w:hint="eastAsia" w:eastAsia="宋体"/>
          <w:szCs w:val="20"/>
          <w:lang w:val="en-US" w:eastAsia="zh-CN"/>
        </w:rPr>
        <w:t xml:space="preserve">and </w:t>
      </w:r>
      <w:r>
        <w:t>T</w:t>
      </w:r>
      <w:r>
        <w:rPr>
          <w:vertAlign w:val="subscript"/>
        </w:rPr>
        <w:t>TRS</w:t>
      </w:r>
      <w:r>
        <w:rPr>
          <w:rFonts w:hint="eastAsia" w:eastAsia="宋体"/>
          <w:vertAlign w:val="subscript"/>
          <w:lang w:val="en-US" w:eastAsia="zh-CN"/>
        </w:rPr>
        <w:t xml:space="preserve"> </w:t>
      </w:r>
      <w:r>
        <w:rPr>
          <w:rFonts w:hint="eastAsia" w:eastAsia="宋体"/>
          <w:szCs w:val="20"/>
          <w:lang w:val="en-US" w:eastAsia="zh-CN"/>
        </w:rPr>
        <w:t>between multiple TRS resources configuration, which should be identified. To our understanding, the case of multiple periodic TRS resources configured in the SSB-less SCell and they are QCLed-Type C to multiple SSB transmitted in the reference cell, such case is typical so as to guarantee the coverage with the UE moving. So it is better to address this case instead of simply saying no requirements for this case. We provide the following candidates for this case:</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szCs w:val="20"/>
          <w:lang w:val="en-US" w:eastAsia="zh-CN"/>
        </w:rPr>
        <w:t xml:space="preserve">Candidate 1: When NW indicates the SSB-less SCell activation command, NW indicates the periodic TRS resource index explicitly, so that UE use the indicated TRS resource to perform SSB-less SCell activation. The </w:t>
      </w:r>
      <w:r>
        <w:rPr>
          <w:lang w:val="en-US" w:eastAsia="zh-CN"/>
        </w:rPr>
        <w:t>T</w:t>
      </w:r>
      <w:r>
        <w:rPr>
          <w:vertAlign w:val="subscript"/>
          <w:lang w:val="en-US" w:eastAsia="zh-CN"/>
        </w:rPr>
        <w:t>first_TRS</w:t>
      </w:r>
      <w:r>
        <w:rPr>
          <w:rFonts w:hint="eastAsia"/>
          <w:vertAlign w:val="subscript"/>
          <w:lang w:val="en-US" w:eastAsia="zh-CN"/>
        </w:rPr>
        <w:t xml:space="preserve"> </w:t>
      </w:r>
      <w:r>
        <w:rPr>
          <w:rFonts w:hint="eastAsia" w:eastAsia="宋体"/>
          <w:szCs w:val="20"/>
          <w:lang w:val="en-US" w:eastAsia="zh-CN"/>
        </w:rPr>
        <w:t xml:space="preserve">and </w:t>
      </w:r>
      <w:r>
        <w:t>T</w:t>
      </w:r>
      <w:r>
        <w:rPr>
          <w:vertAlign w:val="subscript"/>
        </w:rPr>
        <w:t>TRS</w:t>
      </w:r>
      <w:r>
        <w:rPr>
          <w:rFonts w:hint="eastAsia" w:eastAsia="宋体"/>
          <w:vertAlign w:val="subscript"/>
          <w:lang w:val="en-US" w:eastAsia="zh-CN"/>
        </w:rPr>
        <w:t xml:space="preserve"> </w:t>
      </w:r>
      <w:r>
        <w:rPr>
          <w:rFonts w:hint="eastAsia" w:eastAsia="宋体"/>
          <w:szCs w:val="20"/>
          <w:lang w:val="en-US" w:eastAsia="zh-CN"/>
        </w:rPr>
        <w:t>in the requirements fomular means the indicated periodic TRS.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szCs w:val="20"/>
          <w:lang w:val="en-US" w:eastAsia="zh-CN"/>
        </w:rPr>
        <w:t>Candidate 2: Without any explicit NW indication, UE determine which periodic TRS resource to use based on the active TCI state used in the reference cell. All periodic TRS resource are QCLed-Type C with the SSB transmitted in the reference cell one-to-one, the active TCI state is also associated one of the SSB transmitted in the reference cell, so the SSB associated with the active TCI state used in the reference cell can guarantee the ceverage of the UE, the corresponding periodic TRS resource is suitable for the AGC and T/F sync of the SSB-less activation.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Candidate 3: Depend on UE decision, UE can pick any periodic TRS resource to perform SSB-less SCell activation. When determine the activation delay, use the maximum period of multiple TRS resources.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To our understanding, any candidate can address this issue. We are open to listen companies</w:t>
      </w:r>
      <w:r>
        <w:rPr>
          <w:rFonts w:hint="default" w:eastAsia="宋体"/>
          <w:szCs w:val="20"/>
          <w:lang w:val="en-US" w:eastAsia="zh-CN"/>
        </w:rPr>
        <w:t>’</w:t>
      </w:r>
      <w:r>
        <w:rPr>
          <w:rFonts w:hint="eastAsia" w:eastAsia="宋体"/>
          <w:szCs w:val="20"/>
          <w:lang w:val="en-US" w:eastAsia="zh-CN"/>
        </w:rPr>
        <w:t xml:space="preserve"> views.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3: Configuring multiple periodic TRS resource in SSB-less SCell is typical, we prefer to define activation delay requirements for this case instead of simply saying no requirements.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4: Multiple Candidates are suggested as below, open to apply any of them.</w:t>
      </w:r>
    </w:p>
    <w:p>
      <w:pPr>
        <w:pStyle w:val="11"/>
        <w:keepNext w:val="0"/>
        <w:keepLines w:val="0"/>
        <w:pageBreakBefore w:val="0"/>
        <w:widowControl/>
        <w:numPr>
          <w:ilvl w:val="0"/>
          <w:numId w:val="7"/>
        </w:numPr>
        <w:kinsoku/>
        <w:wordWrap/>
        <w:overflowPunct/>
        <w:topLinePunct w:val="0"/>
        <w:autoSpaceDE/>
        <w:autoSpaceDN/>
        <w:bidi w:val="0"/>
        <w:adjustRightInd/>
        <w:snapToGrid/>
        <w:spacing w:before="157" w:beforeLines="50"/>
        <w:ind w:left="840" w:leftChars="0" w:hanging="420" w:firstLineChars="0"/>
        <w:textAlignment w:val="auto"/>
        <w:rPr>
          <w:rFonts w:hint="default" w:eastAsia="宋体"/>
          <w:b/>
          <w:bCs/>
          <w:szCs w:val="20"/>
          <w:highlight w:val="none"/>
          <w:lang w:val="en-US" w:eastAsia="zh-CN"/>
        </w:rPr>
      </w:pPr>
      <w:r>
        <w:rPr>
          <w:rFonts w:hint="default" w:eastAsia="宋体"/>
          <w:b/>
          <w:bCs/>
          <w:szCs w:val="20"/>
          <w:highlight w:val="none"/>
          <w:lang w:val="en-US" w:eastAsia="zh-CN"/>
        </w:rPr>
        <w:t>Candidate 1: When NW indicates the SSB-less SCell activation command, NW indicates the periodic TRS resource index explicitly, so that UE use the indicated TRS resource to perform SSB-less SCell activation. The Tfirst_TRS and TTRS in the requirements fomular means the indicated periodic TRS.</w:t>
      </w:r>
    </w:p>
    <w:p>
      <w:pPr>
        <w:pStyle w:val="11"/>
        <w:keepNext w:val="0"/>
        <w:keepLines w:val="0"/>
        <w:pageBreakBefore w:val="0"/>
        <w:widowControl/>
        <w:numPr>
          <w:ilvl w:val="0"/>
          <w:numId w:val="7"/>
        </w:numPr>
        <w:kinsoku/>
        <w:wordWrap/>
        <w:overflowPunct/>
        <w:topLinePunct w:val="0"/>
        <w:autoSpaceDE/>
        <w:autoSpaceDN/>
        <w:bidi w:val="0"/>
        <w:adjustRightInd/>
        <w:snapToGrid/>
        <w:spacing w:before="157" w:beforeLines="50"/>
        <w:ind w:left="840" w:leftChars="0" w:hanging="420" w:firstLineChars="0"/>
        <w:textAlignment w:val="auto"/>
        <w:rPr>
          <w:rFonts w:hint="default" w:eastAsia="宋体"/>
          <w:b/>
          <w:bCs/>
          <w:szCs w:val="20"/>
          <w:highlight w:val="none"/>
          <w:lang w:val="en-US" w:eastAsia="zh-CN"/>
        </w:rPr>
      </w:pPr>
      <w:r>
        <w:rPr>
          <w:rFonts w:hint="default" w:eastAsia="宋体"/>
          <w:b/>
          <w:bCs/>
          <w:szCs w:val="20"/>
          <w:highlight w:val="none"/>
          <w:lang w:val="en-US" w:eastAsia="zh-CN"/>
        </w:rPr>
        <w:t>Candidate 2: Without any explicit NW indication, UE determine which periodic TRS resource to use based on the active TCI state used in the reference cell. All periodic TRS resource are QCLed-Type C with the SSB transmitted in the reference cell one-to-one, the active TCI state is also associated one of the SSB transmitted in the reference cell, so the SSB associated with the active TCI state used in the reference cell can guarantee the ceverage of the UE, the corresponding periodic TRS resource is suitable for the AGC and T/F sync of the SSB-less activation.</w:t>
      </w:r>
    </w:p>
    <w:p>
      <w:pPr>
        <w:pStyle w:val="11"/>
        <w:keepNext w:val="0"/>
        <w:keepLines w:val="0"/>
        <w:pageBreakBefore w:val="0"/>
        <w:widowControl/>
        <w:numPr>
          <w:ilvl w:val="0"/>
          <w:numId w:val="7"/>
        </w:numPr>
        <w:kinsoku/>
        <w:wordWrap/>
        <w:overflowPunct/>
        <w:topLinePunct w:val="0"/>
        <w:autoSpaceDE/>
        <w:autoSpaceDN/>
        <w:bidi w:val="0"/>
        <w:adjustRightInd/>
        <w:snapToGrid/>
        <w:spacing w:before="157" w:beforeLines="50"/>
        <w:ind w:left="840" w:leftChars="0" w:hanging="420" w:firstLineChars="0"/>
        <w:textAlignment w:val="auto"/>
        <w:rPr>
          <w:rFonts w:hint="default" w:eastAsia="宋体"/>
          <w:szCs w:val="20"/>
          <w:lang w:val="en-US" w:eastAsia="zh-CN"/>
        </w:rPr>
      </w:pPr>
      <w:r>
        <w:rPr>
          <w:rFonts w:hint="default" w:eastAsia="宋体"/>
          <w:b/>
          <w:bCs/>
          <w:szCs w:val="20"/>
          <w:highlight w:val="none"/>
          <w:lang w:val="en-US" w:eastAsia="zh-CN"/>
        </w:rPr>
        <w:t>Candidate 3: Depend on UE decision, UE can pick any periodic TRS resource to perform SSB-less SCell activation. When determine the activation delay, use the maximum period of multiple TRS resources.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u w:val="single"/>
          <w:lang w:val="en-US" w:eastAsia="zh-CN"/>
        </w:rPr>
      </w:pPr>
      <w:r>
        <w:rPr>
          <w:b/>
          <w:u w:val="single"/>
          <w:lang w:eastAsia="ko-KR"/>
        </w:rPr>
        <w:t xml:space="preserve">Intra-band </w:t>
      </w:r>
      <w:r>
        <w:rPr>
          <w:rFonts w:hint="eastAsia" w:eastAsia="宋体"/>
          <w:b/>
          <w:u w:val="single"/>
          <w:lang w:val="en-US" w:eastAsia="zh-CN"/>
        </w:rPr>
        <w:t>non-contiguous CA</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szCs w:val="20"/>
          <w:lang w:val="en-US" w:eastAsia="zh-CN"/>
        </w:rPr>
      </w:pPr>
      <w:r>
        <w:rPr>
          <w:rFonts w:hint="eastAsia" w:eastAsia="宋体"/>
          <w:szCs w:val="20"/>
          <w:lang w:val="en-US" w:eastAsia="zh-CN"/>
        </w:rPr>
        <w:t>In last meeting, this issue was discussed. In legacy R16/17, the SSB-less SCell activation operation is allowed in FR1 intra-band contiguous CA given the side considtions met. And in this R18 WID, the SSB-less SCell activation operation is further extended to be applicable in FR1 inter-band CA. So it seems that the scenario of intra-band non-contiguous CA is vacent. The following options were proposed by the proponent of this scenario in last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widowControl w:val="0"/>
              <w:numPr>
                <w:ilvl w:val="0"/>
                <w:numId w:val="6"/>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6: </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only assuming separate chains and reuse largely the requirements specified for inter-band cases;</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UE optional capability signalling for intra-band NCCA SSB-less SCell operations in a similar way as for inter-band cases;</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UE with single chain implementation does not indicate support for intra-band NCCA SSB-less SCell operations and does not need to meet the requirements.</w:t>
            </w:r>
          </w:p>
          <w:p>
            <w:pPr>
              <w:pStyle w:val="32"/>
              <w:keepNext w:val="0"/>
              <w:keepLines w:val="0"/>
              <w:pageBreakBefore w:val="0"/>
              <w:widowControl w:val="0"/>
              <w:numPr>
                <w:ilvl w:val="0"/>
                <w:numId w:val="6"/>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7:</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two sets of requirements respectively assuming single and separate chains, where one of the sets reuse largely the requirements specified for inter-band cases;</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UE optional capability signalling for two different implementations separately;</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hint="default" w:eastAsia="宋体"/>
                <w:szCs w:val="20"/>
                <w:vertAlign w:val="baseline"/>
                <w:lang w:val="en-US" w:eastAsia="zh-CN"/>
              </w:rPr>
            </w:pPr>
            <w:r>
              <w:rPr>
                <w:rFonts w:eastAsia="宋体"/>
                <w:szCs w:val="24"/>
                <w:lang w:eastAsia="zh-CN"/>
              </w:rPr>
              <w:t>Different UE implementations are required to meet different sets of requirements correspondingly.</w:t>
            </w:r>
          </w:p>
        </w:tc>
      </w:tr>
    </w:tbl>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szCs w:val="20"/>
          <w:lang w:val="en-US" w:eastAsia="zh-CN"/>
        </w:rPr>
        <w:t>Companies were diverse on the assumption of RF chain, whether single or separate chains is assumed.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Accordingly, two optional UE capabilities refers to the two cases. Once UE supports any UE capability, then UE should meet the relevant activation delay requirements. If neither of them supported by the UE, then UE does not support the SSB-less SCell activation for intra-band non-contiguous CA. We believe this is the compromised solution considering different UE implementation architecture.</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US" w:eastAsia="zh-CN"/>
        </w:rPr>
      </w:pPr>
      <w:r>
        <w:rPr>
          <w:rFonts w:hint="eastAsia" w:eastAsia="宋体"/>
          <w:b/>
          <w:bCs/>
          <w:szCs w:val="20"/>
          <w:highlight w:val="none"/>
          <w:lang w:val="en-US" w:eastAsia="zh-CN"/>
        </w:rPr>
        <w:t>Proposal 5: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Two optional UE capabilities refers to the two cases. If neither of them supported by the UE, then UE does not support the SSB-less SCell activation for intra-band non-contiguous CA.</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default" w:eastAsia="宋体"/>
          <w:szCs w:val="20"/>
          <w:lang w:val="en-GB" w:eastAsia="zh-CN"/>
        </w:rPr>
        <w:t xml:space="preserve">In this </w:t>
      </w:r>
      <w:r>
        <w:rPr>
          <w:rFonts w:hint="eastAsia" w:eastAsia="宋体"/>
          <w:szCs w:val="20"/>
          <w:lang w:val="en-US" w:eastAsia="zh-CN"/>
        </w:rPr>
        <w:t>contribution</w:t>
      </w:r>
      <w:r>
        <w:rPr>
          <w:rFonts w:hint="default" w:eastAsia="宋体"/>
          <w:szCs w:val="20"/>
          <w:lang w:val="en-GB" w:eastAsia="zh-CN"/>
        </w:rPr>
        <w:t>, we have the following proposals</w:t>
      </w:r>
      <w:r>
        <w:rPr>
          <w:rFonts w:hint="eastAsia" w:eastAsia="宋体"/>
          <w:szCs w:val="20"/>
          <w:lang w:val="en-US" w:eastAsia="zh-CN"/>
        </w:rPr>
        <w:t xml:space="preserve"> </w:t>
      </w:r>
      <w:r>
        <w:rPr>
          <w:rFonts w:hint="default" w:eastAsia="宋体"/>
          <w:szCs w:val="20"/>
          <w:lang w:val="en-GB" w:eastAsia="zh-CN"/>
        </w:rPr>
        <w:t xml:space="preserve">for </w:t>
      </w:r>
      <w:r>
        <w:rPr>
          <w:rFonts w:hint="eastAsia" w:eastAsia="宋体"/>
          <w:szCs w:val="20"/>
          <w:lang w:val="en-US" w:eastAsia="zh-CN"/>
        </w:rPr>
        <w:t>the Network power saving</w:t>
      </w:r>
      <w:r>
        <w:rPr>
          <w:rFonts w:hint="default" w:eastAsia="宋体"/>
          <w:szCs w:val="20"/>
          <w:lang w:val="en-GB" w:eastAsia="zh-CN"/>
        </w:rPr>
        <w:t>:</w:t>
      </w:r>
    </w:p>
    <w:p>
      <w:pPr>
        <w:rPr>
          <w:rFonts w:hint="default" w:eastAsia="宋体"/>
          <w:b/>
          <w:bCs/>
          <w:szCs w:val="20"/>
          <w:highlight w:val="none"/>
          <w:lang w:val="en-US" w:eastAsia="zh-CN"/>
        </w:rPr>
      </w:pPr>
      <w:r>
        <w:rPr>
          <w:rFonts w:hint="eastAsia" w:eastAsia="宋体"/>
          <w:b/>
          <w:bCs/>
          <w:szCs w:val="20"/>
          <w:highlight w:val="none"/>
          <w:lang w:val="en-US" w:eastAsia="zh-CN"/>
        </w:rPr>
        <w:t xml:space="preserve">Proposal 1: To keep the </w:t>
      </w:r>
      <w:r>
        <w:rPr>
          <w:rFonts w:hint="default" w:eastAsia="宋体"/>
          <w:b/>
          <w:bCs/>
          <w:szCs w:val="20"/>
          <w:highlight w:val="none"/>
          <w:lang w:val="en-US" w:eastAsia="zh-CN"/>
        </w:rPr>
        <w:t>“</w:t>
      </w:r>
      <w:r>
        <w:rPr>
          <w:rFonts w:hint="eastAsia" w:eastAsia="宋体"/>
          <w:b/>
          <w:bCs/>
          <w:szCs w:val="20"/>
          <w:highlight w:val="none"/>
          <w:lang w:val="en-US" w:eastAsia="zh-CN"/>
        </w:rPr>
        <w:t>EPRE after pre-compensation</w:t>
      </w:r>
      <w:r>
        <w:rPr>
          <w:rFonts w:hint="default" w:eastAsia="宋体"/>
          <w:b/>
          <w:bCs/>
          <w:szCs w:val="20"/>
          <w:highlight w:val="none"/>
          <w:lang w:val="en-US" w:eastAsia="zh-CN"/>
        </w:rPr>
        <w:t>”</w:t>
      </w:r>
      <w:r>
        <w:rPr>
          <w:rFonts w:hint="eastAsia" w:eastAsia="宋体"/>
          <w:b/>
          <w:bCs/>
          <w:szCs w:val="20"/>
          <w:highlight w:val="none"/>
          <w:lang w:val="en-US" w:eastAsia="zh-CN"/>
        </w:rPr>
        <w:t xml:space="preserve"> in the spec.</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2: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bCs/>
          <w:szCs w:val="20"/>
          <w:highlight w:val="none"/>
          <w:lang w:val="en-US" w:eastAsia="zh-CN"/>
        </w:rPr>
      </w:pPr>
      <w:r>
        <w:rPr>
          <w:rFonts w:hint="eastAsia" w:eastAsia="宋体"/>
          <w:b/>
          <w:bCs/>
          <w:szCs w:val="20"/>
          <w:highlight w:val="none"/>
          <w:lang w:val="en-US" w:eastAsia="zh-CN"/>
        </w:rPr>
        <w:t>Proposal 3: Configuring multiple periodic TRS resource in SSB-less SCell is typical, we prefer to define activation delay requirements for this case instead of simply saying no requirements.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b/>
          <w:bCs/>
          <w:szCs w:val="20"/>
          <w:highlight w:val="none"/>
          <w:lang w:val="en-US" w:eastAsia="zh-CN"/>
        </w:rPr>
      </w:pPr>
      <w:r>
        <w:rPr>
          <w:rFonts w:hint="eastAsia" w:eastAsia="宋体"/>
          <w:b/>
          <w:bCs/>
          <w:szCs w:val="20"/>
          <w:highlight w:val="none"/>
          <w:lang w:val="en-US" w:eastAsia="zh-CN"/>
        </w:rPr>
        <w:t>Proposal 4: Multiple Candidates are suggested as below, open to apply any of them.</w:t>
      </w:r>
    </w:p>
    <w:p>
      <w:pPr>
        <w:pStyle w:val="11"/>
        <w:keepNext w:val="0"/>
        <w:keepLines w:val="0"/>
        <w:pageBreakBefore w:val="0"/>
        <w:widowControl/>
        <w:numPr>
          <w:ilvl w:val="0"/>
          <w:numId w:val="7"/>
        </w:numPr>
        <w:kinsoku/>
        <w:wordWrap/>
        <w:overflowPunct/>
        <w:topLinePunct w:val="0"/>
        <w:autoSpaceDE/>
        <w:autoSpaceDN/>
        <w:bidi w:val="0"/>
        <w:adjustRightInd/>
        <w:snapToGrid/>
        <w:spacing w:before="157" w:beforeLines="50"/>
        <w:ind w:left="840" w:leftChars="0" w:hanging="420" w:firstLineChars="0"/>
        <w:textAlignment w:val="auto"/>
        <w:rPr>
          <w:rFonts w:hint="default" w:eastAsia="宋体"/>
          <w:b/>
          <w:bCs/>
          <w:szCs w:val="20"/>
          <w:highlight w:val="none"/>
          <w:lang w:val="en-US" w:eastAsia="zh-CN"/>
        </w:rPr>
      </w:pPr>
      <w:r>
        <w:rPr>
          <w:rFonts w:hint="default" w:eastAsia="宋体"/>
          <w:b/>
          <w:bCs/>
          <w:szCs w:val="20"/>
          <w:highlight w:val="none"/>
          <w:lang w:val="en-US" w:eastAsia="zh-CN"/>
        </w:rPr>
        <w:t>Candidate 1: When NW indicates the SSB-less SCell activation command, NW indicates the periodic TRS resource index explicitly, so that UE use the indicated TRS resource to perform SSB-less SCell activation. The Tfirst_TRS and TTRS in the requirements fomular means the indicated periodic TRS.</w:t>
      </w:r>
    </w:p>
    <w:p>
      <w:pPr>
        <w:pStyle w:val="11"/>
        <w:keepNext w:val="0"/>
        <w:keepLines w:val="0"/>
        <w:pageBreakBefore w:val="0"/>
        <w:widowControl/>
        <w:numPr>
          <w:ilvl w:val="0"/>
          <w:numId w:val="7"/>
        </w:numPr>
        <w:kinsoku/>
        <w:wordWrap/>
        <w:overflowPunct/>
        <w:topLinePunct w:val="0"/>
        <w:autoSpaceDE/>
        <w:autoSpaceDN/>
        <w:bidi w:val="0"/>
        <w:adjustRightInd/>
        <w:snapToGrid/>
        <w:spacing w:before="157" w:beforeLines="50"/>
        <w:ind w:left="840" w:leftChars="0" w:hanging="420" w:firstLineChars="0"/>
        <w:textAlignment w:val="auto"/>
        <w:rPr>
          <w:rFonts w:hint="default" w:eastAsia="宋体"/>
          <w:b/>
          <w:bCs/>
          <w:szCs w:val="20"/>
          <w:highlight w:val="none"/>
          <w:lang w:val="en-US" w:eastAsia="zh-CN"/>
        </w:rPr>
      </w:pPr>
      <w:r>
        <w:rPr>
          <w:rFonts w:hint="default" w:eastAsia="宋体"/>
          <w:b/>
          <w:bCs/>
          <w:szCs w:val="20"/>
          <w:highlight w:val="none"/>
          <w:lang w:val="en-US" w:eastAsia="zh-CN"/>
        </w:rPr>
        <w:t>Candidate 2: Without any explicit NW indication, UE determine which periodic TRS resource to use based on the active TCI state used in the reference cell. All periodic TRS resource are QCLed-Type C with the SSB transmitted in the reference cell one-to-one, the active TCI state is also associated one of the SSB transmitted in the reference cell, so the SSB associated with the active TCI state used in the reference cell can guarantee the ceverage of the UE, the corresponding periodic TRS resource is suitable for the AGC and T/F sync of the SSB-less activation.</w:t>
      </w:r>
    </w:p>
    <w:p>
      <w:pPr>
        <w:pStyle w:val="11"/>
        <w:keepNext w:val="0"/>
        <w:keepLines w:val="0"/>
        <w:pageBreakBefore w:val="0"/>
        <w:widowControl/>
        <w:numPr>
          <w:ilvl w:val="0"/>
          <w:numId w:val="7"/>
        </w:numPr>
        <w:kinsoku/>
        <w:wordWrap/>
        <w:overflowPunct/>
        <w:topLinePunct w:val="0"/>
        <w:autoSpaceDE/>
        <w:autoSpaceDN/>
        <w:bidi w:val="0"/>
        <w:adjustRightInd/>
        <w:snapToGrid/>
        <w:spacing w:before="157" w:beforeLines="50"/>
        <w:ind w:left="840" w:leftChars="0" w:hanging="420" w:firstLineChars="0"/>
        <w:textAlignment w:val="auto"/>
        <w:rPr>
          <w:rFonts w:hint="default" w:eastAsia="宋体"/>
          <w:szCs w:val="20"/>
          <w:lang w:val="en-US" w:eastAsia="zh-CN"/>
        </w:rPr>
      </w:pPr>
      <w:r>
        <w:rPr>
          <w:rFonts w:hint="default" w:eastAsia="宋体"/>
          <w:b/>
          <w:bCs/>
          <w:szCs w:val="20"/>
          <w:highlight w:val="none"/>
          <w:lang w:val="en-US" w:eastAsia="zh-CN"/>
        </w:rPr>
        <w:t>Candidate 3: Depend on UE decision, UE can pick any periodic TRS resource to perform SSB-less SCell activation. When determine the activation delay, use the maximum period of multiple TRS resources.</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eastAsia" w:eastAsia="宋体"/>
          <w:b/>
          <w:bCs/>
          <w:szCs w:val="20"/>
          <w:highlight w:val="none"/>
          <w:lang w:val="en-US" w:eastAsia="zh-CN"/>
        </w:rPr>
        <w:t>Proposal 5: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Two optional UE capabilities refers to the two cases. If neither of them supported by the UE, then UE does not support the SSB-less SCell activation for intra-band non-contiguous CA.</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8"/>
        </w:numPr>
        <w:ind w:left="0"/>
        <w:rPr>
          <w:lang w:val="en-US"/>
        </w:rPr>
      </w:pPr>
      <w:r>
        <w:rPr>
          <w:rFonts w:hint="eastAsia"/>
          <w:lang w:val="en-US" w:eastAsia="zh-CN"/>
        </w:rPr>
        <w:t xml:space="preserve">R4-2406301, </w:t>
      </w:r>
      <w:r>
        <w:rPr>
          <w:rFonts w:hint="default"/>
          <w:lang w:val="en-US" w:eastAsia="zh-CN"/>
        </w:rPr>
        <w:t>“WF on RRM requirements for NR network energy saving”</w:t>
      </w:r>
      <w:r>
        <w:rPr>
          <w:rFonts w:hint="eastAsia"/>
          <w:lang w:val="en-US" w:eastAsia="zh-CN"/>
        </w:rPr>
        <w:t>, Huawei</w:t>
      </w:r>
    </w:p>
    <w:p>
      <w:pPr>
        <w:pStyle w:val="6"/>
        <w:numPr>
          <w:ilvl w:val="0"/>
          <w:numId w:val="8"/>
        </w:numPr>
        <w:ind w:left="0"/>
        <w:rPr>
          <w:lang w:val="en-US"/>
        </w:rPr>
      </w:pPr>
      <w:r>
        <w:rPr>
          <w:rFonts w:hint="eastAsia"/>
          <w:lang w:val="en-US" w:eastAsia="zh-CN"/>
        </w:rPr>
        <w:t>TS 38.133 v18.5.0</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DF426F52"/>
    <w:multiLevelType w:val="singleLevel"/>
    <w:tmpl w:val="DF426F52"/>
    <w:lvl w:ilvl="0" w:tentative="0">
      <w:start w:val="1"/>
      <w:numFmt w:val="bullet"/>
      <w:lvlText w:val=""/>
      <w:lvlJc w:val="left"/>
      <w:pPr>
        <w:tabs>
          <w:tab w:val="left" w:pos="420"/>
        </w:tabs>
        <w:ind w:left="84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1"/>
  </w:num>
  <w:num w:numId="4">
    <w:abstractNumId w:val="6"/>
  </w:num>
  <w:num w:numId="5">
    <w:abstractNumId w:val="3"/>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317852"/>
    <w:rsid w:val="0FDB2428"/>
    <w:rsid w:val="0FDE07F8"/>
    <w:rsid w:val="10997F43"/>
    <w:rsid w:val="10B412F6"/>
    <w:rsid w:val="10DE7BAE"/>
    <w:rsid w:val="112E04B1"/>
    <w:rsid w:val="118C78B6"/>
    <w:rsid w:val="11D90C6C"/>
    <w:rsid w:val="11EE781B"/>
    <w:rsid w:val="120774A3"/>
    <w:rsid w:val="12201600"/>
    <w:rsid w:val="12503E08"/>
    <w:rsid w:val="128749DF"/>
    <w:rsid w:val="12A6623E"/>
    <w:rsid w:val="12DF4CD8"/>
    <w:rsid w:val="13283295"/>
    <w:rsid w:val="13971F9B"/>
    <w:rsid w:val="14005BC9"/>
    <w:rsid w:val="14006D19"/>
    <w:rsid w:val="141E2261"/>
    <w:rsid w:val="14337DBF"/>
    <w:rsid w:val="1481754F"/>
    <w:rsid w:val="148F5721"/>
    <w:rsid w:val="14AC57CD"/>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F1C5EEC"/>
    <w:rsid w:val="1F396C30"/>
    <w:rsid w:val="1F8B6954"/>
    <w:rsid w:val="200825A0"/>
    <w:rsid w:val="20100E94"/>
    <w:rsid w:val="204E740F"/>
    <w:rsid w:val="20850FF5"/>
    <w:rsid w:val="20933D8F"/>
    <w:rsid w:val="20B31314"/>
    <w:rsid w:val="20B654AE"/>
    <w:rsid w:val="21014C39"/>
    <w:rsid w:val="2121345D"/>
    <w:rsid w:val="21244EB1"/>
    <w:rsid w:val="213964D8"/>
    <w:rsid w:val="21595D04"/>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7113863"/>
    <w:rsid w:val="276457A5"/>
    <w:rsid w:val="27B748AA"/>
    <w:rsid w:val="27C05389"/>
    <w:rsid w:val="27CB4CB9"/>
    <w:rsid w:val="281C2F58"/>
    <w:rsid w:val="28455DD9"/>
    <w:rsid w:val="288408D1"/>
    <w:rsid w:val="29642C4B"/>
    <w:rsid w:val="296569C3"/>
    <w:rsid w:val="2A2655A3"/>
    <w:rsid w:val="2A2C6E38"/>
    <w:rsid w:val="2A34628C"/>
    <w:rsid w:val="2A724D05"/>
    <w:rsid w:val="2A7E505C"/>
    <w:rsid w:val="2AC85686"/>
    <w:rsid w:val="2AD04B5F"/>
    <w:rsid w:val="2AF821D7"/>
    <w:rsid w:val="2AFF50D8"/>
    <w:rsid w:val="2B2B3C4D"/>
    <w:rsid w:val="2B311294"/>
    <w:rsid w:val="2B457EC9"/>
    <w:rsid w:val="2B4B5EE6"/>
    <w:rsid w:val="2B502806"/>
    <w:rsid w:val="2B7948F6"/>
    <w:rsid w:val="2BC05B2C"/>
    <w:rsid w:val="2BD200F8"/>
    <w:rsid w:val="2BD617C5"/>
    <w:rsid w:val="2BDB15FD"/>
    <w:rsid w:val="2C112837"/>
    <w:rsid w:val="2C69716D"/>
    <w:rsid w:val="2CAE0227"/>
    <w:rsid w:val="2CB80480"/>
    <w:rsid w:val="2E014790"/>
    <w:rsid w:val="2E082A14"/>
    <w:rsid w:val="2E3E07A9"/>
    <w:rsid w:val="2E401305"/>
    <w:rsid w:val="2E731B6B"/>
    <w:rsid w:val="2E932654"/>
    <w:rsid w:val="2E960366"/>
    <w:rsid w:val="2ECF4508"/>
    <w:rsid w:val="2EE77680"/>
    <w:rsid w:val="2F2F0FC8"/>
    <w:rsid w:val="2F384495"/>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941AA2"/>
    <w:rsid w:val="36D17C2F"/>
    <w:rsid w:val="36D37423"/>
    <w:rsid w:val="36D6243D"/>
    <w:rsid w:val="379D23F9"/>
    <w:rsid w:val="37AB4FA6"/>
    <w:rsid w:val="389D4970"/>
    <w:rsid w:val="394C72B7"/>
    <w:rsid w:val="3A185287"/>
    <w:rsid w:val="3A1F46B8"/>
    <w:rsid w:val="3A692CD0"/>
    <w:rsid w:val="3A8B0918"/>
    <w:rsid w:val="3A92352C"/>
    <w:rsid w:val="3B270929"/>
    <w:rsid w:val="3B3D5571"/>
    <w:rsid w:val="3B577C68"/>
    <w:rsid w:val="3B673620"/>
    <w:rsid w:val="3B9A1F29"/>
    <w:rsid w:val="3CA30F83"/>
    <w:rsid w:val="3CAB5723"/>
    <w:rsid w:val="3CE4646B"/>
    <w:rsid w:val="3D1737C4"/>
    <w:rsid w:val="3D300544"/>
    <w:rsid w:val="3D4315FC"/>
    <w:rsid w:val="3D5E7AA8"/>
    <w:rsid w:val="3D6F2596"/>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61776"/>
    <w:rsid w:val="44972678"/>
    <w:rsid w:val="44BF6E7D"/>
    <w:rsid w:val="44E85A06"/>
    <w:rsid w:val="451632B9"/>
    <w:rsid w:val="45485273"/>
    <w:rsid w:val="4566717F"/>
    <w:rsid w:val="457B4C4B"/>
    <w:rsid w:val="458F0087"/>
    <w:rsid w:val="45906394"/>
    <w:rsid w:val="45E4124E"/>
    <w:rsid w:val="45F60A50"/>
    <w:rsid w:val="46142D0C"/>
    <w:rsid w:val="46923526"/>
    <w:rsid w:val="46970A81"/>
    <w:rsid w:val="4697115A"/>
    <w:rsid w:val="46B036BF"/>
    <w:rsid w:val="471E7E6C"/>
    <w:rsid w:val="47282363"/>
    <w:rsid w:val="47701BD2"/>
    <w:rsid w:val="482E2EBF"/>
    <w:rsid w:val="48346B27"/>
    <w:rsid w:val="48377D9E"/>
    <w:rsid w:val="48FC12CE"/>
    <w:rsid w:val="493D3211"/>
    <w:rsid w:val="49464E7D"/>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E015C76"/>
    <w:rsid w:val="4E310026"/>
    <w:rsid w:val="4E4A2325"/>
    <w:rsid w:val="4ED56361"/>
    <w:rsid w:val="4EDB4B65"/>
    <w:rsid w:val="4EEE4C05"/>
    <w:rsid w:val="4F5C5331"/>
    <w:rsid w:val="501A6C55"/>
    <w:rsid w:val="504338E1"/>
    <w:rsid w:val="505E1A7C"/>
    <w:rsid w:val="50DD750F"/>
    <w:rsid w:val="51B14BED"/>
    <w:rsid w:val="51CB19F2"/>
    <w:rsid w:val="51F437A2"/>
    <w:rsid w:val="523522B3"/>
    <w:rsid w:val="52526454"/>
    <w:rsid w:val="525C1CEF"/>
    <w:rsid w:val="528B5767"/>
    <w:rsid w:val="52D33625"/>
    <w:rsid w:val="52E34B8A"/>
    <w:rsid w:val="537958C3"/>
    <w:rsid w:val="53A3105E"/>
    <w:rsid w:val="53C64B93"/>
    <w:rsid w:val="540678E0"/>
    <w:rsid w:val="54283FDA"/>
    <w:rsid w:val="54564E31"/>
    <w:rsid w:val="548A6C60"/>
    <w:rsid w:val="55B1164D"/>
    <w:rsid w:val="55B4735E"/>
    <w:rsid w:val="55BB221D"/>
    <w:rsid w:val="55F52EA4"/>
    <w:rsid w:val="56371459"/>
    <w:rsid w:val="56484633"/>
    <w:rsid w:val="56E22593"/>
    <w:rsid w:val="5708349C"/>
    <w:rsid w:val="573826DD"/>
    <w:rsid w:val="58555010"/>
    <w:rsid w:val="588147F2"/>
    <w:rsid w:val="58D0053D"/>
    <w:rsid w:val="5953384B"/>
    <w:rsid w:val="598C40A0"/>
    <w:rsid w:val="59935EC3"/>
    <w:rsid w:val="59BE616D"/>
    <w:rsid w:val="59DA647E"/>
    <w:rsid w:val="5A556E1A"/>
    <w:rsid w:val="5A7649FC"/>
    <w:rsid w:val="5AD01678"/>
    <w:rsid w:val="5B583B1B"/>
    <w:rsid w:val="5B8F064C"/>
    <w:rsid w:val="5BB2626A"/>
    <w:rsid w:val="5BF6112C"/>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7E527E"/>
    <w:rsid w:val="61CC2D28"/>
    <w:rsid w:val="61F14827"/>
    <w:rsid w:val="622409B3"/>
    <w:rsid w:val="62296DAB"/>
    <w:rsid w:val="62AB695F"/>
    <w:rsid w:val="62F766B1"/>
    <w:rsid w:val="6305029D"/>
    <w:rsid w:val="632E2686"/>
    <w:rsid w:val="63415308"/>
    <w:rsid w:val="635902CD"/>
    <w:rsid w:val="635E6E54"/>
    <w:rsid w:val="640111D3"/>
    <w:rsid w:val="6453068A"/>
    <w:rsid w:val="64706BBE"/>
    <w:rsid w:val="647235D4"/>
    <w:rsid w:val="64BE6D26"/>
    <w:rsid w:val="64F02CA7"/>
    <w:rsid w:val="64F2095B"/>
    <w:rsid w:val="659E5E96"/>
    <w:rsid w:val="65B6141B"/>
    <w:rsid w:val="65C17F1F"/>
    <w:rsid w:val="65C814E8"/>
    <w:rsid w:val="66113FAB"/>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BCB2EC8"/>
    <w:rsid w:val="6C126A8E"/>
    <w:rsid w:val="6C5959EE"/>
    <w:rsid w:val="6C681E3D"/>
    <w:rsid w:val="6C7172AA"/>
    <w:rsid w:val="6CC34D51"/>
    <w:rsid w:val="6CE16D19"/>
    <w:rsid w:val="6D566F0F"/>
    <w:rsid w:val="6D836F72"/>
    <w:rsid w:val="6D944C6F"/>
    <w:rsid w:val="6DA200E2"/>
    <w:rsid w:val="6DDE3DAF"/>
    <w:rsid w:val="6E17316D"/>
    <w:rsid w:val="6E3241BE"/>
    <w:rsid w:val="6EB97A9D"/>
    <w:rsid w:val="6EBE48B8"/>
    <w:rsid w:val="6EF10A90"/>
    <w:rsid w:val="6EF77781"/>
    <w:rsid w:val="6F7F3578"/>
    <w:rsid w:val="6FF86D3D"/>
    <w:rsid w:val="6FFF1868"/>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935AFB"/>
    <w:rsid w:val="7EB130F9"/>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0</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2024-05-13T08:39:23Z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